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F5" w:rsidRPr="00B0589E" w:rsidRDefault="00F52FF5" w:rsidP="00D039BD">
      <w:pPr>
        <w:spacing w:after="0" w:line="240" w:lineRule="auto"/>
        <w:ind w:left="3828" w:right="-1"/>
        <w:jc w:val="right"/>
        <w:rPr>
          <w:b/>
          <w:color w:val="000000"/>
          <w:sz w:val="24"/>
          <w:szCs w:val="24"/>
        </w:rPr>
      </w:pPr>
      <w:r w:rsidRPr="00B0589E">
        <w:rPr>
          <w:b/>
          <w:color w:val="000000"/>
          <w:sz w:val="24"/>
          <w:szCs w:val="24"/>
        </w:rPr>
        <w:t>Приложение №</w:t>
      </w:r>
      <w:r w:rsidR="00E35577">
        <w:rPr>
          <w:b/>
          <w:color w:val="000000"/>
          <w:sz w:val="24"/>
          <w:szCs w:val="24"/>
        </w:rPr>
        <w:t>3</w:t>
      </w:r>
      <w:r w:rsidR="00DF4339">
        <w:rPr>
          <w:b/>
          <w:color w:val="000000"/>
          <w:sz w:val="24"/>
          <w:szCs w:val="24"/>
        </w:rPr>
        <w:t>0</w:t>
      </w:r>
      <w:bookmarkStart w:id="0" w:name="_GoBack"/>
      <w:bookmarkEnd w:id="0"/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 xml:space="preserve">к Тарифному соглашению 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>в системе ОМС на территории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>Республики Мордовия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85036A">
        <w:rPr>
          <w:color w:val="000000"/>
          <w:sz w:val="24"/>
          <w:szCs w:val="24"/>
        </w:rPr>
        <w:t xml:space="preserve">от </w:t>
      </w:r>
      <w:r w:rsidR="0085036A" w:rsidRPr="0085036A">
        <w:rPr>
          <w:color w:val="000000"/>
          <w:sz w:val="24"/>
          <w:szCs w:val="24"/>
        </w:rPr>
        <w:t>24</w:t>
      </w:r>
      <w:r w:rsidRPr="0085036A">
        <w:rPr>
          <w:color w:val="000000"/>
          <w:sz w:val="24"/>
          <w:szCs w:val="24"/>
        </w:rPr>
        <w:t>.</w:t>
      </w:r>
      <w:r w:rsidR="0085036A" w:rsidRPr="0085036A">
        <w:rPr>
          <w:color w:val="000000"/>
          <w:sz w:val="24"/>
          <w:szCs w:val="24"/>
        </w:rPr>
        <w:t>01</w:t>
      </w:r>
      <w:r w:rsidRPr="0085036A">
        <w:rPr>
          <w:color w:val="000000"/>
          <w:sz w:val="24"/>
          <w:szCs w:val="24"/>
        </w:rPr>
        <w:t>.202</w:t>
      </w:r>
      <w:r w:rsidR="0085036A" w:rsidRPr="0085036A">
        <w:rPr>
          <w:color w:val="000000"/>
          <w:sz w:val="24"/>
          <w:szCs w:val="24"/>
        </w:rPr>
        <w:t>2</w:t>
      </w:r>
      <w:r w:rsidRPr="0085036A">
        <w:rPr>
          <w:color w:val="000000"/>
          <w:sz w:val="24"/>
          <w:szCs w:val="24"/>
        </w:rPr>
        <w:t xml:space="preserve"> г.</w:t>
      </w:r>
    </w:p>
    <w:p w:rsidR="00D039BD" w:rsidRDefault="00D039BD" w:rsidP="00B72A89">
      <w:pPr>
        <w:pStyle w:val="2"/>
        <w:spacing w:before="120" w:line="240" w:lineRule="auto"/>
        <w:jc w:val="center"/>
        <w:rPr>
          <w:bCs/>
          <w:sz w:val="24"/>
          <w:szCs w:val="24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10"/>
        <w:gridCol w:w="8246"/>
      </w:tblGrid>
      <w:tr w:rsidR="00E35577" w:rsidRPr="00CF47D4" w:rsidTr="00E64325">
        <w:trPr>
          <w:trHeight w:val="375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 w:rsidRPr="00CF47D4">
              <w:rPr>
                <w:rFonts w:eastAsia="Calibri"/>
                <w:sz w:val="28"/>
                <w:szCs w:val="28"/>
              </w:rPr>
              <w:t xml:space="preserve">Перечень классификационных критериев отнесения случаев лечения к КСГ </w:t>
            </w:r>
            <w:r w:rsidRPr="00CF47D4">
              <w:rPr>
                <w:rFonts w:eastAsia="Calibri"/>
                <w:sz w:val="28"/>
                <w:szCs w:val="28"/>
              </w:rPr>
              <w:br/>
              <w:t>(за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</w:t>
            </w:r>
            <w:proofErr w:type="gramStart"/>
            <w:r w:rsidRPr="00CF47D4">
              <w:rPr>
                <w:rFonts w:eastAsia="Calibri"/>
                <w:sz w:val="28"/>
                <w:szCs w:val="28"/>
              </w:rPr>
              <w:t>))*</w:t>
            </w:r>
            <w:proofErr w:type="gramEnd"/>
          </w:p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35577" w:rsidRPr="00CF47D4" w:rsidTr="00E64325">
        <w:trPr>
          <w:trHeight w:val="172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12"/>
                <w:szCs w:val="24"/>
                <w:lang w:eastAsia="ru-RU"/>
              </w:rPr>
            </w:pPr>
          </w:p>
        </w:tc>
      </w:tr>
      <w:tr w:rsidR="00E35577" w:rsidRPr="00CF47D4" w:rsidTr="00E64325">
        <w:trPr>
          <w:trHeight w:val="31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sz w:val="28"/>
              </w:rPr>
            </w:pPr>
            <w:r w:rsidRPr="00CF47D4">
              <w:rPr>
                <w:rFonts w:eastAsia="Times New Roman"/>
                <w:sz w:val="28"/>
                <w:szCs w:val="24"/>
                <w:lang w:eastAsia="ru-RU"/>
              </w:rPr>
              <w:t>Таблица 1. Международные непатентованные наименования лекарственных препаратов, используемых в ходе случая лечения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МНН используемых препаратов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flt1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Стрептокиназа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flt2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Рекомбинантный белок, содержащий аминокислотную последовательность стафилокиназы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flt3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Проурокиназа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flt4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Алтеплаза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flt5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Тенектеплаза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L01XE14 - Бозутиниб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L01XX32 - Бортезомиб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L01XC12 - Брентуксимаб ведотин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L01XX52 - Венетоклакс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L01XE06 - Дазатиниб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L01XC24 - Даратумумаб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L01XE27 - Ибрутиниб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L01XE01 - Иматиниб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L01XX45 - Карфилзомиб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L04AX04 - Леналидомид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L01BB07 - Неларабин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L01XC17 - Ниволумаб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L01XC15 - Обинутузумаб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L01XC18 - Пембролизумаб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L01XC23 - Элотузумаб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L01XC02 - Ритуксимаб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gemop18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L01XC19 - Блинатумомаб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gemop20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L01XE05 - Сорафениб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gemop21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L01XE08 - Нилотиниб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gemop22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L01XE15 - Вемурафениб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gemop23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L01XE39 - Мидостаурин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gemop24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L01XX50 - Иксазомиб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gemop25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A6E25">
              <w:rPr>
                <w:rFonts w:eastAsia="Times New Roman"/>
                <w:sz w:val="24"/>
                <w:szCs w:val="24"/>
                <w:lang w:eastAsia="ru-RU"/>
              </w:rPr>
              <w:t>L04AX06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r w:rsidRPr="00FA6E25">
              <w:rPr>
                <w:rFonts w:eastAsia="Times New Roman"/>
                <w:sz w:val="24"/>
                <w:szCs w:val="24"/>
                <w:lang w:eastAsia="ru-RU"/>
              </w:rPr>
              <w:t>Помалидомид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gemop26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A6E25">
              <w:rPr>
                <w:rFonts w:eastAsia="Times New Roman"/>
                <w:sz w:val="24"/>
                <w:szCs w:val="24"/>
                <w:lang w:eastAsia="ru-RU"/>
              </w:rPr>
              <w:t>L01EJ01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- </w:t>
            </w:r>
            <w:r w:rsidRPr="00FA6E25">
              <w:rPr>
                <w:rFonts w:eastAsia="Times New Roman"/>
                <w:sz w:val="24"/>
                <w:szCs w:val="24"/>
                <w:lang w:eastAsia="ru-RU"/>
              </w:rPr>
              <w:t>Руксолитиниб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mt001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доксорубицин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mt002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капецитабин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mt003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карбоплатин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mt004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митомицин + капецитабин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mt005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митомицин + фторурацил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mt006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паклитаксел + карбоплатин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mt007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темозоломид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mt008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трастузумаб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mt009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трастузумаб + пертузумаб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фторурацил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цетуксимаб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циклофосфамид + доксорубицин + цисплатин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цисплатин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цисплатин + доцетаксел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цисплатин + капецитабин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цисплатин + фторурацил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этопозид + цисплатин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оксалиплатин + капецитабин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mt019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гемцитабин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mt020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паклитаксел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mt021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пеметрексед + цисплатин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mt022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пеметрексед + карбоплатин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mt023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карбоплатин + фторурацил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mt024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фторурацил + кальция фолинат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BC4FAC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gibp01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Абатацепт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4B31E7">
              <w:rPr>
                <w:rFonts w:eastAsia="Times New Roman"/>
                <w:sz w:val="24"/>
                <w:szCs w:val="24"/>
                <w:lang w:eastAsia="ru-RU"/>
              </w:rPr>
              <w:t>Адалимумаб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Алирокумаб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Апремиласт (30 дней приема)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Барицитиниб (30 дней приема)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Белимумаб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Бенрализумаб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Ведолизумаб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gibp0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Голимумаб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gibp10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Гуселькумаб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ibp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1</w:t>
            </w: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Дезоксирибонуклеиновая кислота плазмидная [сверхскрученная кольцевая двуцепочечная]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gibp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Деносумаб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ibp13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Дупилумаб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ibp14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C4FAC">
              <w:rPr>
                <w:rFonts w:eastAsia="Times New Roman"/>
                <w:sz w:val="24"/>
                <w:szCs w:val="24"/>
                <w:lang w:eastAsia="ru-RU"/>
              </w:rPr>
              <w:t>Иксекизумаб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ibp15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C4FAC">
              <w:rPr>
                <w:rFonts w:eastAsia="Times New Roman"/>
                <w:sz w:val="24"/>
                <w:szCs w:val="24"/>
                <w:lang w:eastAsia="ru-RU"/>
              </w:rPr>
              <w:t>Инфликсимаб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ibp16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Канакинумаб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ibp17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Меполизумаб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ibp18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Нетакимаб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ibp19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Олокизумаб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ibp20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Омализумаб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ibp21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Реслизумаб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ibp22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Ритуксимаб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ibp23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Сарилумаб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85C3A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ibp24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Секукинумаб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F85C3A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843B8">
              <w:rPr>
                <w:rFonts w:eastAsia="Times New Roman"/>
                <w:sz w:val="24"/>
                <w:szCs w:val="24"/>
                <w:lang w:val="en-US" w:eastAsia="ru-RU"/>
              </w:rPr>
              <w:t>gibp2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Тофацитиниб (30 дней приема)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F85C3A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843B8">
              <w:rPr>
                <w:rFonts w:eastAsia="Times New Roman"/>
                <w:sz w:val="24"/>
                <w:szCs w:val="24"/>
                <w:lang w:val="en-US" w:eastAsia="ru-RU"/>
              </w:rPr>
              <w:lastRenderedPageBreak/>
              <w:t>gibp2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Тоцилизумаб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F85C3A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843B8">
              <w:rPr>
                <w:rFonts w:eastAsia="Times New Roman"/>
                <w:sz w:val="24"/>
                <w:szCs w:val="24"/>
                <w:lang w:val="en-US" w:eastAsia="ru-RU"/>
              </w:rPr>
              <w:t>gibp2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Упадацитиниб (30 дней приема)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F85C3A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843B8">
              <w:rPr>
                <w:rFonts w:eastAsia="Times New Roman"/>
                <w:sz w:val="24"/>
                <w:szCs w:val="24"/>
                <w:lang w:val="en-US" w:eastAsia="ru-RU"/>
              </w:rPr>
              <w:t>gibp2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Устекинумаб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F85C3A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843B8">
              <w:rPr>
                <w:rFonts w:eastAsia="Times New Roman"/>
                <w:sz w:val="24"/>
                <w:szCs w:val="24"/>
                <w:lang w:val="en-US" w:eastAsia="ru-RU"/>
              </w:rPr>
              <w:t>gibp2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Цертолизумаба пэгол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F85C3A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843B8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ibp30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Эволокумаб (1 введение)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5577" w:rsidRPr="00F85C3A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3843B8">
              <w:rPr>
                <w:rFonts w:eastAsia="Times New Roman"/>
                <w:sz w:val="24"/>
                <w:szCs w:val="24"/>
                <w:lang w:val="en-US" w:eastAsia="ru-RU"/>
              </w:rPr>
              <w:t>g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ibp31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44DB9">
              <w:rPr>
                <w:rFonts w:eastAsia="Times New Roman"/>
                <w:sz w:val="24"/>
                <w:szCs w:val="24"/>
                <w:lang w:eastAsia="ru-RU"/>
              </w:rPr>
              <w:t>Этанерцепт (1 введение)</w:t>
            </w:r>
          </w:p>
        </w:tc>
      </w:tr>
    </w:tbl>
    <w:p w:rsidR="00E35577" w:rsidRPr="00CF47D4" w:rsidRDefault="00E35577" w:rsidP="00E35577">
      <w:pPr>
        <w:spacing w:after="0" w:line="240" w:lineRule="auto"/>
        <w:rPr>
          <w:sz w:val="18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1135"/>
        <w:gridCol w:w="5526"/>
        <w:gridCol w:w="2906"/>
      </w:tblGrid>
      <w:tr w:rsidR="00E35577" w:rsidRPr="00CF47D4" w:rsidTr="00E64325">
        <w:trPr>
          <w:trHeight w:val="315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eastAsia="ru-RU"/>
              </w:rPr>
            </w:pPr>
            <w:r w:rsidRPr="00CF47D4">
              <w:rPr>
                <w:rFonts w:eastAsia="Times New Roman"/>
                <w:sz w:val="28"/>
                <w:szCs w:val="24"/>
                <w:lang w:eastAsia="ru-RU"/>
              </w:rPr>
              <w:t>Таблица 2. Дополнительные классификационные критерии отнесения случаев лечения к КСГ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  <w:tblHeader/>
        </w:trPr>
        <w:tc>
          <w:tcPr>
            <w:tcW w:w="1135" w:type="dxa"/>
            <w:shd w:val="clear" w:color="auto" w:fill="FFFFFF" w:themeFill="background1"/>
            <w:noWrap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F47D4">
              <w:rPr>
                <w:rFonts w:eastAsia="Times New Roman"/>
                <w:bCs/>
                <w:sz w:val="24"/>
                <w:szCs w:val="24"/>
              </w:rPr>
              <w:t>Код ДКК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F47D4">
              <w:rPr>
                <w:rFonts w:eastAsia="Times New Roman"/>
                <w:bCs/>
                <w:sz w:val="24"/>
                <w:szCs w:val="24"/>
              </w:rPr>
              <w:t>Наименования ДКК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F47D4">
              <w:rPr>
                <w:rFonts w:eastAsia="Times New Roman"/>
                <w:bCs/>
                <w:sz w:val="24"/>
                <w:szCs w:val="24"/>
              </w:rPr>
              <w:t>Случаи применения ДКК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amt01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Вориконазол (парентеральная форма)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35CCC">
              <w:rPr>
                <w:rFonts w:eastAsia="Times New Roman"/>
                <w:sz w:val="24"/>
                <w:szCs w:val="24"/>
                <w:lang w:eastAsia="ru-RU"/>
              </w:rPr>
              <w:t>Проведение антимикробной терапии инфекций, вызванных полирезистентными микроорганизмами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amt02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Даптомицин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amt03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Каспофунгин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amt04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Линезолид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amt05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Меропенем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amt06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Микафунгин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lastRenderedPageBreak/>
              <w:t>amt07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 xml:space="preserve">Полимиксин </w:t>
            </w:r>
            <w:proofErr w:type="gramStart"/>
            <w:r w:rsidRPr="00BC4FAC">
              <w:rPr>
                <w:rFonts w:eastAsia="Calibri"/>
                <w:sz w:val="24"/>
              </w:rPr>
              <w:t>В в</w:t>
            </w:r>
            <w:proofErr w:type="gramEnd"/>
            <w:r w:rsidRPr="00BC4FAC">
              <w:rPr>
                <w:rFonts w:eastAsia="Calibri"/>
                <w:sz w:val="24"/>
              </w:rPr>
              <w:t xml:space="preserve">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amt08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Тедизолид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amt09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Телаванцин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amt10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Тигециклин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amt11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Флуконазол (парентеральная форма)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amt12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Фосфомицин (парентеральная форма)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amt13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Цефтазидим+[Авибактам]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lastRenderedPageBreak/>
              <w:t>amt14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Цефтаролина фосамил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amt15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Цефтолозан+[Тазобактам]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полирезистентными микроорганизмами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bt1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Фокальная спастичность нижней конечности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Применение ботулинического токсина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bt2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Другие показания в соответствии с инструкцией по применению (кроме фокальной спастичности нижней конечности)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BC4FAC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>
              <w:rPr>
                <w:rFonts w:eastAsia="Calibri"/>
                <w:sz w:val="24"/>
                <w:lang w:val="en-US"/>
              </w:rPr>
              <w:t>bt3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05593A">
              <w:rPr>
                <w:rFonts w:eastAsia="Calibri"/>
                <w:sz w:val="24"/>
              </w:rPr>
              <w:t>Назначение ботулинического токсина при сиалорее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>
              <w:rPr>
                <w:rFonts w:eastAsia="Calibri"/>
                <w:sz w:val="24"/>
                <w:lang w:val="en-US"/>
              </w:rPr>
              <w:t>derm1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05593A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Обязательное выполнение методов физиотерапии (за исключением фототерапии) и/или применении плазмафереза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D35CAC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Лечение дерматозов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 w:rsidRPr="00E93331">
              <w:rPr>
                <w:rFonts w:eastAsia="Calibri"/>
                <w:sz w:val="24"/>
                <w:lang w:val="en-US"/>
              </w:rPr>
              <w:t>d</w:t>
            </w:r>
            <w:r>
              <w:rPr>
                <w:rFonts w:eastAsia="Calibri"/>
                <w:sz w:val="24"/>
                <w:lang w:val="en-US"/>
              </w:rPr>
              <w:t>erm2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05593A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 xml:space="preserve">Обязательное назначение как минимум одного из следующих препаратов: метотрексат, циклоспорин, ацитретин, дапсон, преднизолон, дексаметазон, изотретиноин, </w:t>
            </w:r>
            <w:proofErr w:type="gramStart"/>
            <w:r w:rsidRPr="00BC4FAC">
              <w:rPr>
                <w:rFonts w:eastAsia="Calibri"/>
                <w:sz w:val="24"/>
              </w:rPr>
              <w:t>гризеофульвин,интраконазол</w:t>
            </w:r>
            <w:proofErr w:type="gramEnd"/>
            <w:r w:rsidRPr="00BC4FAC">
              <w:rPr>
                <w:rFonts w:eastAsia="Calibri"/>
                <w:sz w:val="24"/>
              </w:rPr>
              <w:t>, флуконазол (таблетированная форма), кетоканазол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 w:rsidRPr="00E93331">
              <w:rPr>
                <w:rFonts w:eastAsia="Calibri"/>
                <w:sz w:val="24"/>
                <w:lang w:val="en-US"/>
              </w:rPr>
              <w:t>d</w:t>
            </w:r>
            <w:r>
              <w:rPr>
                <w:rFonts w:eastAsia="Calibri"/>
                <w:sz w:val="24"/>
                <w:lang w:val="en-US"/>
              </w:rPr>
              <w:t>erm3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8A48E7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proofErr w:type="gramStart"/>
            <w:r w:rsidRPr="00BC4FAC">
              <w:rPr>
                <w:rFonts w:eastAsia="Calibri"/>
                <w:sz w:val="24"/>
              </w:rPr>
              <w:t>PASI &gt;</w:t>
            </w:r>
            <w:proofErr w:type="gramEnd"/>
            <w:r w:rsidRPr="00BC4FAC">
              <w:rPr>
                <w:rFonts w:eastAsia="Calibri"/>
                <w:sz w:val="24"/>
              </w:rPr>
              <w:t>= 11 и обязательное назначение как минимум одного из следующих препаратов: метотрексат, циклоспорин, ацитретин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 w:rsidRPr="00E93331">
              <w:rPr>
                <w:rFonts w:eastAsia="Calibri"/>
                <w:sz w:val="24"/>
                <w:lang w:val="en-US"/>
              </w:rPr>
              <w:t>d</w:t>
            </w:r>
            <w:r>
              <w:rPr>
                <w:rFonts w:eastAsia="Calibri"/>
                <w:sz w:val="24"/>
                <w:lang w:val="en-US"/>
              </w:rPr>
              <w:t>erm4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8A48E7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Обязательное назначение как минимум одного из следующих препаратов: метотрексат, интерферон альфа 2b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 w:rsidRPr="00E93331">
              <w:rPr>
                <w:rFonts w:eastAsia="Calibri"/>
                <w:sz w:val="24"/>
                <w:lang w:val="en-US"/>
              </w:rPr>
              <w:t>d</w:t>
            </w:r>
            <w:r>
              <w:rPr>
                <w:rFonts w:eastAsia="Calibri"/>
                <w:sz w:val="24"/>
                <w:lang w:val="en-US"/>
              </w:rPr>
              <w:t>erm5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8A48E7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Обязательное выполнение ультрафиолетового облучения кожи не менее 8 процедур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 w:rsidRPr="00E93331">
              <w:rPr>
                <w:rFonts w:eastAsia="Calibri"/>
                <w:sz w:val="24"/>
                <w:lang w:val="en-US"/>
              </w:rPr>
              <w:t>d</w:t>
            </w:r>
            <w:r>
              <w:rPr>
                <w:rFonts w:eastAsia="Calibri"/>
                <w:sz w:val="24"/>
                <w:lang w:val="en-US"/>
              </w:rPr>
              <w:t>erm6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8A48E7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proofErr w:type="gramStart"/>
            <w:r w:rsidRPr="00BC4FAC">
              <w:rPr>
                <w:rFonts w:eastAsia="Calibri"/>
                <w:sz w:val="24"/>
              </w:rPr>
              <w:t>PASI &gt;</w:t>
            </w:r>
            <w:proofErr w:type="gramEnd"/>
            <w:r w:rsidRPr="00BC4FAC">
              <w:rPr>
                <w:rFonts w:eastAsia="Calibri"/>
                <w:sz w:val="24"/>
              </w:rPr>
              <w:t>= 11 и обязательное выполнение ультрафиолетового облучения кожи не менее 8 процедур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Pr="00E93331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>
              <w:rPr>
                <w:rFonts w:eastAsia="Calibri"/>
                <w:sz w:val="24"/>
                <w:lang w:val="en-US"/>
              </w:rPr>
              <w:t>derm7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8A48E7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Обязательное выполнение фотодинамической терапии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 w:rsidRPr="00E93331">
              <w:rPr>
                <w:rFonts w:eastAsia="Calibri"/>
                <w:sz w:val="24"/>
                <w:lang w:val="en-US"/>
              </w:rPr>
              <w:t>d</w:t>
            </w:r>
            <w:r>
              <w:rPr>
                <w:rFonts w:eastAsia="Calibri"/>
                <w:sz w:val="24"/>
                <w:lang w:val="en-US"/>
              </w:rPr>
              <w:t>erm8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8A48E7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BC4FAC">
              <w:rPr>
                <w:rFonts w:eastAsia="Calibri"/>
                <w:sz w:val="24"/>
              </w:rPr>
              <w:t>Обязательное выполнение ультрафиолетового облучения кожи не менее 6 процедур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>
              <w:rPr>
                <w:rFonts w:eastAsia="Calibri"/>
                <w:sz w:val="24"/>
                <w:lang w:val="en-US"/>
              </w:rPr>
              <w:t>derm9</w:t>
            </w:r>
          </w:p>
        </w:tc>
        <w:tc>
          <w:tcPr>
            <w:tcW w:w="5526" w:type="dxa"/>
            <w:shd w:val="clear" w:color="auto" w:fill="FFFFFF" w:themeFill="background1"/>
            <w:noWrap/>
          </w:tcPr>
          <w:p w:rsidR="00E35577" w:rsidRPr="008A48E7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proofErr w:type="gramStart"/>
            <w:r w:rsidRPr="00BC4FAC">
              <w:rPr>
                <w:rFonts w:eastAsia="Calibri"/>
                <w:sz w:val="24"/>
              </w:rPr>
              <w:t>PASI &gt;</w:t>
            </w:r>
            <w:proofErr w:type="gramEnd"/>
            <w:r w:rsidRPr="00BC4FAC">
              <w:rPr>
                <w:rFonts w:eastAsia="Calibri"/>
                <w:sz w:val="24"/>
              </w:rPr>
              <w:t>= 11 и обязательное выполнение ультрафиолетового облучения кожи не менее 6 процедур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ep1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Диагностика эпилепсии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lastRenderedPageBreak/>
              <w:t>ep2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 и терапевтического мониторинга противоэпилептических препаратов в крови с целью подбора противоэпилептической терапии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ep3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24 часов) и терапевтического мониторинга противоэпилептических препаратов в крови с целью подбора противоэпилептической терапии и консультация врача-нейрохирурга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gem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Назначение специального противоопухолевого лечения ЗНО лимфоидной и кроветворной тканей (лекарственные препараты, относящиеся к ATX группе «L» - противоопухолевые препараты и иммуномодуляторы)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Лекарственная терапия при ЗНО лимфоидной и кроветворной тканей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if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Назначение лекарственных препаратов пегилированных интерферонов для лечения хронического вирусного гепатита С в интерферонсодержащем режиме в соответствии с анатомо-терапевтическо-химической классификацией (АТХ)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bCs/>
                <w:sz w:val="24"/>
                <w:szCs w:val="24"/>
                <w:lang w:eastAsia="ru-RU"/>
              </w:rPr>
              <w:t>Л</w:t>
            </w:r>
            <w:r w:rsidRPr="00CF47D4">
              <w:rPr>
                <w:rFonts w:eastAsia="Times New Roman"/>
                <w:sz w:val="24"/>
                <w:szCs w:val="24"/>
                <w:lang w:eastAsia="ru-RU"/>
              </w:rPr>
              <w:t xml:space="preserve">екарственная терапия при хроническом вирусном гепатите </w:t>
            </w:r>
            <w:r w:rsidRPr="00CF47D4">
              <w:rPr>
                <w:rFonts w:eastAsia="Times New Roman"/>
                <w:sz w:val="24"/>
                <w:szCs w:val="24"/>
                <w:lang w:val="en-US" w:eastAsia="ru-RU"/>
              </w:rPr>
              <w:t>C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nif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Назначение лекарственных препаратов прямого противовирусного действия для лечения хронического вирусного гепатита С в безинтерфероновом режиме в соответствии с анатомо-терапевтическо-химической классификацией (АТХ)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BC4FAC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 w:rsidRPr="008A48E7">
              <w:rPr>
                <w:rFonts w:eastAsia="Calibri"/>
                <w:sz w:val="24"/>
                <w:lang w:val="en-US"/>
              </w:rPr>
              <w:t>irs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8A48E7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F566CB">
              <w:rPr>
                <w:rFonts w:eastAsia="Calibri"/>
                <w:sz w:val="24"/>
              </w:rPr>
              <w:t>Паливизумаб (1 введение) в рамках проведения иммунизации против респираторно-синцитиальной вирусной инфекции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B87DC7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C4FA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8A48E7">
              <w:rPr>
                <w:rFonts w:eastAsia="Times New Roman"/>
                <w:sz w:val="24"/>
                <w:szCs w:val="24"/>
                <w:lang w:eastAsia="ru-RU"/>
              </w:rPr>
              <w:t>ммунизаци</w:t>
            </w:r>
            <w:r w:rsidRPr="00BC4FAC">
              <w:rPr>
                <w:rFonts w:eastAsia="Times New Roman"/>
                <w:sz w:val="24"/>
                <w:szCs w:val="24"/>
                <w:lang w:eastAsia="ru-RU"/>
              </w:rPr>
              <w:t>я</w:t>
            </w:r>
            <w:r w:rsidRPr="008A48E7">
              <w:rPr>
                <w:rFonts w:eastAsia="Times New Roman"/>
                <w:sz w:val="24"/>
                <w:szCs w:val="24"/>
                <w:lang w:eastAsia="ru-RU"/>
              </w:rPr>
              <w:t xml:space="preserve"> против респираторно-синцитиальной вирусной инфекции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it1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SOFA не менее 5 и непрерывное проведение искусственной вентиляции легких в течение 72 часов и более, pSOFA не менее 4 и непрерывное проведение искусственной вентиляции легких в течение 72 часов и более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Синдром органной дисфункции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it2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Непрерывное проведение искусственной вентиляции легких в течение 480 часов и более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Длительное непрерывное проведение искусственной вентиляции легких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ivf1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Размораживание криоконсервированных эмбрионов с последующим переносом эмбрионов в полость матки (криоперенос) (A11.20.030.001 Внутриматочное введение криоконсервированного эмбриона)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Проведение ЭКО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ivf2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Проведение I этапа ЭКО: стимуляция суперовуляции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lastRenderedPageBreak/>
              <w:t>ivf3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Проведение I-II этапов ЭКО: стимуляция суперовуляции, получение яйцеклетки (A11.20.019 Получение яйцеклетки)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ivf4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без последующей криоконсервации эмбрионов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ivf5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с последующей криоконсервацией эмбрионов (A11.20.031 Криоконсервация эмбрионов) без переноса эмбрионов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ivf6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без осуществления криоконсервации эмбрионов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ivf7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с осуществлением криоконсервации эмбрионов (A11.20.031 Криоконсервация эмбрионов)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mgi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Обязательное выполнение биопсии при подозрении на злокачественное новообразование и проведение диагностических молекулярно-генетических и/или иммуногистохимических исследований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Проведение диагностических молекулярно-генетических и/или иммуногистохимических исследований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lgh1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Большая срединная послеоперационная грыжа. Срединные послеоперационные грыжи шириной грыжевых ворот ≥10 см - &lt;15 см (по данным КТ) и соотношением объема грыжевого выпячивания к объему брюшной полости ≥20% - &lt;30% (по данным КТ) с имплантацией эндопротеза.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 xml:space="preserve">Хирургическое лечение больших и гигантских послеоперационных грыж брюшной стенки с реконструктивно-пластическим </w:t>
            </w:r>
            <w:r w:rsidRPr="00CF47D4">
              <w:rPr>
                <w:rFonts w:eastAsia="Calibri"/>
                <w:sz w:val="24"/>
              </w:rPr>
              <w:lastRenderedPageBreak/>
              <w:t>компонентом на брюшной стенке с имплантацией эндопротеза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lastRenderedPageBreak/>
              <w:t>lgh2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Большая срединная послеоперационная грыжа. Срединные послеоперационные грыжи шириной грыжевых ворот ≥10 - &lt;15 см (по данным КТ) и соотношением объема грыжевого выпячивания к объему брюшной полости &lt;20% (по данным КТ) с имплантацией эндопротеза.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lgh3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 xml:space="preserve">Большая срединная послеоперационная грыжа. Срединные послеоперационные грыжи шириной грыжевых ворот &lt;10 см (по данным КТ) и соотношением объема грыжевого выпячивания к объему брюшной полости ≥20% - </w:t>
            </w:r>
            <w:proofErr w:type="gramStart"/>
            <w:r w:rsidRPr="00CF47D4">
              <w:rPr>
                <w:rFonts w:eastAsia="Calibri"/>
                <w:sz w:val="24"/>
              </w:rPr>
              <w:t>&lt; 30</w:t>
            </w:r>
            <w:proofErr w:type="gramEnd"/>
            <w:r w:rsidRPr="00CF47D4">
              <w:rPr>
                <w:rFonts w:eastAsia="Calibri"/>
                <w:sz w:val="24"/>
              </w:rPr>
              <w:t>% (по данным КТ) с имплантацией эндопротеза.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lgh4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 xml:space="preserve">Большая латеральная (подреберная, поясничная, подвздошная, боковая) послеоперационная грыжа. Латеральные послеоперационные грыжи шириной грыжевых ворот ≥10 см - &lt;15 см (по данным КТ) и соотношением объема грыжевого выпячивания к объему брюшной полости ≥20% - </w:t>
            </w:r>
            <w:proofErr w:type="gramStart"/>
            <w:r w:rsidRPr="00CF47D4">
              <w:rPr>
                <w:rFonts w:eastAsia="Calibri"/>
                <w:sz w:val="24"/>
              </w:rPr>
              <w:t>&lt; 30</w:t>
            </w:r>
            <w:proofErr w:type="gramEnd"/>
            <w:r w:rsidRPr="00CF47D4">
              <w:rPr>
                <w:rFonts w:eastAsia="Calibri"/>
                <w:sz w:val="24"/>
              </w:rPr>
              <w:t>% (по данным КТ) с имплантацией эндопротеза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Хирургическое лечение больших и гигантских послеоперационных грыж брюшной стенки с реконструктивно-пластическим компонентом на брюшной стенке с имплантацией эндопротеза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lgh5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Большая латеральная (подреберная, поясничная, подвздошная, боковая) послеоперационная грыжа. Латеральные послеоперационные грыжи шириной грыжевых ворот ≥10 - &lt;15 см (по данным КТ) и соотношением объема грыжевого выпячивания к объему брюшной полости &lt;20% (по данным КТ) с имплантацией эндопротеза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lgh6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 xml:space="preserve">Большая латеральная (подреберная, поясничная, подвздошная, боковая) послеоперационная грыжа. Латеральные послеоперационные грыжи шириной грыжевых ворот &lt;10 см (по данным КТ) и соотношением объема грыжевого выпячивания к объему брюшной полости ≥20% - </w:t>
            </w:r>
            <w:proofErr w:type="gramStart"/>
            <w:r w:rsidRPr="00CF47D4">
              <w:rPr>
                <w:rFonts w:eastAsia="Calibri"/>
                <w:sz w:val="24"/>
              </w:rPr>
              <w:t>&lt; 30</w:t>
            </w:r>
            <w:proofErr w:type="gramEnd"/>
            <w:r w:rsidRPr="00CF47D4">
              <w:rPr>
                <w:rFonts w:eastAsia="Calibri"/>
                <w:sz w:val="24"/>
              </w:rPr>
              <w:t>% (по данным КТ) с имплантацией эндопротеза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lgh7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Гигантская срединная послеоперационная грыжа. Срединные послеоперационные грыжи шириной грыжевых ворот ≥15см (по данным КТ) и соотношением объема грыжевого выпячивания к объему брюшной полости ≥30% (по данным КТ) с имплантацией эндопротеза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lgh8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Гигантская срединная послеоперационная грыжа. Срединные послеоперационные грыжи шириной грыжевых ворот ≥15 см (по данным КТ) и соотношением объема грыжевого выпячивания к объему брюшной полости &lt;30% (по данным КТ) с имплантацией эндопротеза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lgh9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Гигантская срединная послеоперационная грыжа. Срединные послеоперационные грыжи шириной грыжевых ворот &lt;15 см (по данным КТ) и соотношением объема грыжевого выпячивания к объему брюшной полости ≥30% (по данным КТ) с имплантацией эндопротеза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lastRenderedPageBreak/>
              <w:t>lgh10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Гигантская латеральная послеоперационная грыжа (подреберная, поясничная, подвздошная, боковая). Латеральные послеоперационные грыжи шириной грыжевых ворот ≥15см (по данным КТ) и соотношением объема грыжевого выпячивания к объему брюшной полости ≥30% (по данным КТ) с имплантацией эндопротеза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lgh11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Гигантская латеральная послеоперационная грыжа (подреберная, поясничная, подвздошная, боковая). Латеральные послеоперационные грыжи шириной грыжевых ворот ≥15 см (по данным КТ) и соотношением объема грыжевого выпячивания к объему брюшной полости &lt;30% (по данным КТ) с имплантацией эндопротеза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Хирургическое лечение больших и гигантских послеоперационных грыж брюшной стенки с реконструктивно-пластическим компонентом на брюшной стенке с имплантацией эндопротеза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lgh12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Гигантская латеральная послеоперационная грыжа (подреберная, поясничная, подвздошная, боковая). Латеральные послеоперационные грыжи шириной грыжевых ворот &lt;15 см (по данным КТ) и соотношением объема грыжевого выпячивания к объему брюшной полости ≥30% (по данным КТ) с имплантацией эндопротеза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olt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Состояние после перенесенной лучевой терапии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Лучевые повреждения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plt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Наличие травмы в двух и более анатомических областях (голова/шея, позвоночник, грудная клетка, живот, таз, конечности), множественная травма и травма в нескольких областях тела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Политравма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rb2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2 балла по шкале реабилитационной маршрутизации (ШРМ)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Медицинская реабилитация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rb3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3 балла по шкале реабилитационной маршрутизации (ШРМ)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rb4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4 балла по шкале реабилитационной маршрутизации (ШРМ)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rb5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5 баллов по шкале реабилитационной маршрутизации (ШРМ)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rb6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6 баллов по шкале реабилитационной маршрутизации (ШРМ)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35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rb</w:t>
            </w:r>
            <w:r>
              <w:rPr>
                <w:rFonts w:eastAsia="Calibri"/>
                <w:sz w:val="24"/>
                <w:lang w:val="en-US"/>
              </w:rPr>
              <w:t>b</w:t>
            </w:r>
            <w:r w:rsidRPr="00CF47D4">
              <w:rPr>
                <w:rFonts w:eastAsia="Calibri"/>
                <w:sz w:val="24"/>
              </w:rPr>
              <w:t>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2 балла по шкале реабилитационной маршрутизации (ШРМ)</w:t>
            </w:r>
            <w:r>
              <w:rPr>
                <w:rFonts w:eastAsia="Calibri"/>
                <w:sz w:val="24"/>
              </w:rPr>
              <w:t xml:space="preserve">, назначение </w:t>
            </w:r>
            <w:r w:rsidRPr="00E226FF">
              <w:rPr>
                <w:rFonts w:eastAsia="Calibri"/>
                <w:sz w:val="24"/>
              </w:rPr>
              <w:t>ботулинического токсина</w:t>
            </w:r>
          </w:p>
        </w:tc>
        <w:tc>
          <w:tcPr>
            <w:tcW w:w="2729" w:type="dxa"/>
            <w:vMerge w:val="restart"/>
            <w:shd w:val="clear" w:color="auto" w:fill="FFFFFF" w:themeFill="background1"/>
            <w:noWrap/>
            <w:vAlign w:val="center"/>
          </w:tcPr>
          <w:p w:rsidR="00E35577" w:rsidRPr="00E226FF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226FF">
              <w:rPr>
                <w:rFonts w:eastAsia="Times New Roman"/>
                <w:sz w:val="24"/>
                <w:szCs w:val="24"/>
                <w:lang w:eastAsia="ru-RU"/>
              </w:rPr>
              <w:t>Медицинская реабилитация</w:t>
            </w:r>
            <w:r w:rsidRPr="00BC4FA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 применением </w:t>
            </w:r>
            <w:r w:rsidRPr="00E226FF">
              <w:rPr>
                <w:rFonts w:eastAsia="Times New Roman"/>
                <w:sz w:val="24"/>
                <w:szCs w:val="24"/>
                <w:lang w:eastAsia="ru-RU"/>
              </w:rPr>
              <w:t>ботулинического токсина</w:t>
            </w:r>
          </w:p>
        </w:tc>
      </w:tr>
      <w:tr w:rsidR="00E35577" w:rsidRPr="00CF47D4" w:rsidTr="00E35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rb</w:t>
            </w:r>
            <w:r>
              <w:rPr>
                <w:rFonts w:eastAsia="Calibri"/>
                <w:sz w:val="24"/>
                <w:lang w:val="en-US"/>
              </w:rPr>
              <w:t>b</w:t>
            </w:r>
            <w:r w:rsidRPr="00CF47D4">
              <w:rPr>
                <w:rFonts w:eastAsia="Calibri"/>
                <w:sz w:val="24"/>
              </w:rPr>
              <w:t>3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3 балла по шкале реабилитационной маршрутизации (ШРМ)</w:t>
            </w:r>
            <w:r w:rsidRPr="00E226FF">
              <w:rPr>
                <w:rFonts w:eastAsia="Calibri"/>
                <w:sz w:val="24"/>
              </w:rPr>
              <w:t>, назначение ботулинического токсина</w:t>
            </w:r>
          </w:p>
        </w:tc>
        <w:tc>
          <w:tcPr>
            <w:tcW w:w="2729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35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rb</w:t>
            </w:r>
            <w:r>
              <w:rPr>
                <w:rFonts w:eastAsia="Calibri"/>
                <w:sz w:val="24"/>
                <w:lang w:val="en-US"/>
              </w:rPr>
              <w:t>b</w:t>
            </w:r>
            <w:r w:rsidRPr="00CF47D4">
              <w:rPr>
                <w:rFonts w:eastAsia="Calibri"/>
                <w:sz w:val="24"/>
              </w:rPr>
              <w:t>4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4 балла по шкале реабилитационной маршрутизации (ШРМ)</w:t>
            </w:r>
            <w:r w:rsidRPr="00E226FF">
              <w:rPr>
                <w:rFonts w:eastAsia="Calibri"/>
                <w:sz w:val="24"/>
              </w:rPr>
              <w:t>, назначение ботулинического токсина</w:t>
            </w:r>
          </w:p>
        </w:tc>
        <w:tc>
          <w:tcPr>
            <w:tcW w:w="2729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35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rb</w:t>
            </w:r>
            <w:r>
              <w:rPr>
                <w:rFonts w:eastAsia="Calibri"/>
                <w:sz w:val="24"/>
                <w:lang w:val="en-US"/>
              </w:rPr>
              <w:t>b</w:t>
            </w:r>
            <w:r w:rsidRPr="00CF47D4">
              <w:rPr>
                <w:rFonts w:eastAsia="Calibri"/>
                <w:sz w:val="24"/>
              </w:rPr>
              <w:t>5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5 баллов по шкале реабилитационной маршрутизации (ШРМ)</w:t>
            </w:r>
            <w:r w:rsidRPr="00E226FF">
              <w:rPr>
                <w:rFonts w:eastAsia="Calibri"/>
                <w:sz w:val="24"/>
              </w:rPr>
              <w:t>, назначение ботулинического токсина</w:t>
            </w:r>
          </w:p>
        </w:tc>
        <w:tc>
          <w:tcPr>
            <w:tcW w:w="2729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355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BC4FAC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  <w:lang w:val="en-US"/>
              </w:rPr>
            </w:pPr>
            <w:r>
              <w:rPr>
                <w:rFonts w:eastAsia="Calibri"/>
                <w:sz w:val="24"/>
                <w:lang w:val="en-US"/>
              </w:rPr>
              <w:t>rbpt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BC4FAC" w:rsidRDefault="00E35577" w:rsidP="00E64325">
            <w:pPr>
              <w:spacing w:after="0" w:line="240" w:lineRule="auto"/>
              <w:rPr>
                <w:rFonts w:eastAsia="Calibri"/>
                <w:sz w:val="24"/>
                <w:highlight w:val="yellow"/>
              </w:rPr>
            </w:pPr>
            <w:r>
              <w:rPr>
                <w:rFonts w:eastAsia="Calibri"/>
                <w:sz w:val="24"/>
              </w:rPr>
              <w:t>П</w:t>
            </w:r>
            <w:r w:rsidRPr="00735CCC">
              <w:rPr>
                <w:rFonts w:eastAsia="Calibri"/>
                <w:sz w:val="24"/>
              </w:rPr>
              <w:t>ост</w:t>
            </w:r>
            <w:r>
              <w:rPr>
                <w:rFonts w:eastAsia="Calibri"/>
                <w:sz w:val="24"/>
              </w:rPr>
              <w:t>т</w:t>
            </w:r>
            <w:r w:rsidRPr="00735CCC">
              <w:rPr>
                <w:rFonts w:eastAsia="Calibri"/>
                <w:sz w:val="24"/>
              </w:rPr>
              <w:t>рансплантационный период для пациентов, перенесших трансплантаци</w:t>
            </w:r>
            <w:r>
              <w:rPr>
                <w:rFonts w:eastAsia="Calibri"/>
                <w:sz w:val="24"/>
              </w:rPr>
              <w:t>ю</w:t>
            </w:r>
            <w:r w:rsidRPr="00735CCC">
              <w:rPr>
                <w:rFonts w:eastAsia="Calibri"/>
                <w:sz w:val="24"/>
              </w:rPr>
              <w:t xml:space="preserve"> гемопоэтических стволовых клеток крови и костного мозга (от 30 до 100 дней)</w:t>
            </w:r>
          </w:p>
        </w:tc>
        <w:tc>
          <w:tcPr>
            <w:tcW w:w="2729" w:type="dxa"/>
            <w:shd w:val="clear" w:color="auto" w:fill="FFFFFF" w:themeFill="background1"/>
            <w:noWrap/>
            <w:vAlign w:val="center"/>
          </w:tcPr>
          <w:p w:rsidR="00E35577" w:rsidRPr="00BC4FAC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8A48E7">
              <w:rPr>
                <w:rFonts w:eastAsia="Times New Roman"/>
                <w:sz w:val="24"/>
                <w:szCs w:val="24"/>
                <w:lang w:eastAsia="ru-RU"/>
              </w:rPr>
              <w:t>ост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8A48E7">
              <w:rPr>
                <w:rFonts w:eastAsia="Times New Roman"/>
                <w:sz w:val="24"/>
                <w:szCs w:val="24"/>
                <w:lang w:eastAsia="ru-RU"/>
              </w:rPr>
              <w:t>рансплантационный период после пересадки костного мозга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rb2cov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Медицинская реабилитация после перенесенной коронавирусной инфекции COVID-19, 2 балла по шкале реабилитационной маршрутизации (ШРМ)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 xml:space="preserve">Медицинская реабилитация после перенесенной </w:t>
            </w:r>
            <w:r w:rsidRPr="00CF47D4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коронавирусной инфекции COVID-19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lastRenderedPageBreak/>
              <w:t>rb3cov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Медицинская реабилитация после перенесенной коронавирусной инфекции COVID-19, 3 балла по шкале реабилитационной маршрутизации (ШРМ)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rb4cov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Медицинская реабилитация после перенесенной коронавирусной инфекции COVID-19, 4 балла по шкале реабилитационной маршрутизации (ШРМ)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rb5cov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Медицинская реабилитация после перенесенной коронавирусной инфекции COVID-19, 5 баллов по шкале реабилитационной маршрутизации (ШРМ)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rbs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stt1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Легкое течение в соответствии с классификацией COVID-19 по степени тяжести (Временные методические рекомендации «Профилактика, диагностика и лечение новой коронавирусной инфекции (COVID-19)», утвержденные Минздравом России)</w:t>
            </w:r>
          </w:p>
        </w:tc>
        <w:tc>
          <w:tcPr>
            <w:tcW w:w="2803" w:type="dxa"/>
            <w:vMerge w:val="restart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 xml:space="preserve">Лечение пациентов с коронавирусной инфекцией </w:t>
            </w:r>
            <w:r w:rsidRPr="00CF47D4">
              <w:rPr>
                <w:rFonts w:eastAsia="Times New Roman"/>
                <w:sz w:val="24"/>
                <w:szCs w:val="24"/>
                <w:lang w:val="en-US" w:eastAsia="ru-RU"/>
              </w:rPr>
              <w:t>COVID</w:t>
            </w: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-19</w:t>
            </w: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stt2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Среднетяжелое течение в соответствии с классификацией COVID-19 по степени тяжести (Временные методические рекомендации «Профилактика, диагностика и лечение новой коронавирусной инфекции (COVID-19)», утвержденные Минздравом России)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stt3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Тяжелое течение в соответствии с классификацией COVID-19 по степени тяжести (Временные методические рекомендации «Профилактика, диагностика и лечение новой коронавирусной инфекции (COVID-19)», утвержденные Минздравом России)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stt4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Calibri"/>
                <w:sz w:val="24"/>
              </w:rPr>
              <w:t>Крайне тяжелое течение в соответствии с классификацией COVID-19 по степени тяжести (Временные методические рекомендации «Профилактика, диагностика и лечение новой коронавирусной инфекции (COVID-19)», утвержденные Минздравом России)</w:t>
            </w:r>
          </w:p>
        </w:tc>
        <w:tc>
          <w:tcPr>
            <w:tcW w:w="2803" w:type="dxa"/>
            <w:vMerge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5577" w:rsidRPr="00CF47D4" w:rsidTr="00E64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 w:themeFill="background1"/>
        </w:tblPrEx>
        <w:trPr>
          <w:cantSplit/>
          <w:trHeight w:val="70"/>
        </w:trPr>
        <w:tc>
          <w:tcPr>
            <w:tcW w:w="1135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  <w:lang w:val="en-US"/>
              </w:rPr>
              <w:t>s</w:t>
            </w:r>
            <w:r w:rsidRPr="00CF47D4">
              <w:rPr>
                <w:rFonts w:eastAsia="Calibri"/>
                <w:sz w:val="24"/>
              </w:rPr>
              <w:t>tt5</w:t>
            </w:r>
          </w:p>
        </w:tc>
        <w:tc>
          <w:tcPr>
            <w:tcW w:w="5526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rPr>
                <w:rFonts w:eastAsia="Calibri"/>
                <w:sz w:val="24"/>
              </w:rPr>
            </w:pPr>
            <w:r w:rsidRPr="00CF47D4">
              <w:rPr>
                <w:rFonts w:eastAsia="Calibri"/>
                <w:sz w:val="24"/>
              </w:rPr>
              <w:t>Долечивание пациента с коронавирусной инфекцией COVID-19</w:t>
            </w:r>
          </w:p>
        </w:tc>
        <w:tc>
          <w:tcPr>
            <w:tcW w:w="2803" w:type="dxa"/>
            <w:shd w:val="clear" w:color="auto" w:fill="FFFFFF" w:themeFill="background1"/>
            <w:noWrap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Долечивание пациента, перенесшего коронавирусную инфекцию COVID-19</w:t>
            </w:r>
          </w:p>
        </w:tc>
      </w:tr>
    </w:tbl>
    <w:p w:rsidR="00E35577" w:rsidRPr="00CF47D4" w:rsidRDefault="00E35577" w:rsidP="004D6F8F">
      <w:pPr>
        <w:spacing w:after="0" w:line="240" w:lineRule="auto"/>
        <w:ind w:left="142" w:right="-285"/>
        <w:jc w:val="both"/>
        <w:rPr>
          <w:rFonts w:eastAsia="Calibri"/>
          <w:sz w:val="24"/>
          <w:szCs w:val="28"/>
        </w:rPr>
      </w:pPr>
      <w:r w:rsidRPr="00CF47D4">
        <w:rPr>
          <w:rFonts w:eastAsia="Calibri"/>
          <w:sz w:val="24"/>
          <w:szCs w:val="28"/>
        </w:rPr>
        <w:t>* иной классификационный критерий «pbt» применяется для случаев назначения лекарственных препаратов, не имеющих соответствующих кодов Номенклатуры медицинских услуг с учетом анатомо-терапевтическо-химической классификации (АТХ).</w:t>
      </w:r>
    </w:p>
    <w:p w:rsidR="00E35577" w:rsidRDefault="00E35577" w:rsidP="004D6F8F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E35577" w:rsidRPr="00B0589E" w:rsidRDefault="00E35577" w:rsidP="00B72A89">
      <w:pPr>
        <w:pStyle w:val="2"/>
        <w:spacing w:before="120" w:line="240" w:lineRule="auto"/>
        <w:jc w:val="center"/>
        <w:rPr>
          <w:bCs/>
          <w:sz w:val="24"/>
          <w:szCs w:val="24"/>
        </w:rPr>
      </w:pPr>
    </w:p>
    <w:sectPr w:rsidR="00E35577" w:rsidRPr="00B0589E" w:rsidSect="00AD20CD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FC"/>
    <w:rsid w:val="00001215"/>
    <w:rsid w:val="00007DCC"/>
    <w:rsid w:val="00021546"/>
    <w:rsid w:val="00027210"/>
    <w:rsid w:val="00044E41"/>
    <w:rsid w:val="0005087D"/>
    <w:rsid w:val="00060437"/>
    <w:rsid w:val="000874C0"/>
    <w:rsid w:val="00093A2B"/>
    <w:rsid w:val="00096247"/>
    <w:rsid w:val="000A4E88"/>
    <w:rsid w:val="000B5C11"/>
    <w:rsid w:val="000D408B"/>
    <w:rsid w:val="000D7B6A"/>
    <w:rsid w:val="000E436A"/>
    <w:rsid w:val="000E4DBB"/>
    <w:rsid w:val="000E576B"/>
    <w:rsid w:val="001062B4"/>
    <w:rsid w:val="00107460"/>
    <w:rsid w:val="00110EB7"/>
    <w:rsid w:val="00111AA1"/>
    <w:rsid w:val="001273A0"/>
    <w:rsid w:val="00127D4F"/>
    <w:rsid w:val="001343B6"/>
    <w:rsid w:val="00145D67"/>
    <w:rsid w:val="00187BD2"/>
    <w:rsid w:val="00194C04"/>
    <w:rsid w:val="0019541C"/>
    <w:rsid w:val="001A603F"/>
    <w:rsid w:val="001B4497"/>
    <w:rsid w:val="001B6CA9"/>
    <w:rsid w:val="001D2478"/>
    <w:rsid w:val="001D62EE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2505"/>
    <w:rsid w:val="00276CBB"/>
    <w:rsid w:val="00291A40"/>
    <w:rsid w:val="00295B0A"/>
    <w:rsid w:val="002E0105"/>
    <w:rsid w:val="002E0FA2"/>
    <w:rsid w:val="002E3971"/>
    <w:rsid w:val="002E55DF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43744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F207E"/>
    <w:rsid w:val="004006EC"/>
    <w:rsid w:val="00411485"/>
    <w:rsid w:val="0041621A"/>
    <w:rsid w:val="00435B19"/>
    <w:rsid w:val="004374E1"/>
    <w:rsid w:val="00440532"/>
    <w:rsid w:val="00465348"/>
    <w:rsid w:val="00484A37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D6F8F"/>
    <w:rsid w:val="004E0986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F1820"/>
    <w:rsid w:val="005F338C"/>
    <w:rsid w:val="0060037D"/>
    <w:rsid w:val="006057E3"/>
    <w:rsid w:val="00610DA2"/>
    <w:rsid w:val="0061147E"/>
    <w:rsid w:val="006144B6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BFF"/>
    <w:rsid w:val="006975A4"/>
    <w:rsid w:val="006C0360"/>
    <w:rsid w:val="006D7639"/>
    <w:rsid w:val="006F0AC4"/>
    <w:rsid w:val="00707226"/>
    <w:rsid w:val="00713F24"/>
    <w:rsid w:val="00720904"/>
    <w:rsid w:val="0073311F"/>
    <w:rsid w:val="00733EF0"/>
    <w:rsid w:val="0073642D"/>
    <w:rsid w:val="00746B38"/>
    <w:rsid w:val="007820B0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35A63"/>
    <w:rsid w:val="00845708"/>
    <w:rsid w:val="0085036A"/>
    <w:rsid w:val="00862B9C"/>
    <w:rsid w:val="008712BF"/>
    <w:rsid w:val="00871777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C13DB"/>
    <w:rsid w:val="008C7A29"/>
    <w:rsid w:val="008D0ADA"/>
    <w:rsid w:val="008E1862"/>
    <w:rsid w:val="008E18A7"/>
    <w:rsid w:val="008F5877"/>
    <w:rsid w:val="008F5C51"/>
    <w:rsid w:val="008F6A62"/>
    <w:rsid w:val="0091243A"/>
    <w:rsid w:val="0093760A"/>
    <w:rsid w:val="00937ED7"/>
    <w:rsid w:val="00940D41"/>
    <w:rsid w:val="009427FE"/>
    <w:rsid w:val="00946468"/>
    <w:rsid w:val="00946BE1"/>
    <w:rsid w:val="00951BE4"/>
    <w:rsid w:val="0095348A"/>
    <w:rsid w:val="009613D3"/>
    <w:rsid w:val="00974612"/>
    <w:rsid w:val="00976501"/>
    <w:rsid w:val="00985309"/>
    <w:rsid w:val="00985624"/>
    <w:rsid w:val="00992794"/>
    <w:rsid w:val="00995E5C"/>
    <w:rsid w:val="009A4363"/>
    <w:rsid w:val="009A7061"/>
    <w:rsid w:val="009B71B9"/>
    <w:rsid w:val="009D2F85"/>
    <w:rsid w:val="009D373E"/>
    <w:rsid w:val="00A34D0D"/>
    <w:rsid w:val="00A368A3"/>
    <w:rsid w:val="00A4285D"/>
    <w:rsid w:val="00A477D4"/>
    <w:rsid w:val="00A577F0"/>
    <w:rsid w:val="00A65266"/>
    <w:rsid w:val="00A842B2"/>
    <w:rsid w:val="00A85D7A"/>
    <w:rsid w:val="00A91DA2"/>
    <w:rsid w:val="00A965EC"/>
    <w:rsid w:val="00AA2E9D"/>
    <w:rsid w:val="00AA60BF"/>
    <w:rsid w:val="00AA71BB"/>
    <w:rsid w:val="00AA7DC7"/>
    <w:rsid w:val="00AB2197"/>
    <w:rsid w:val="00AB2BB3"/>
    <w:rsid w:val="00AB51A4"/>
    <w:rsid w:val="00AC569F"/>
    <w:rsid w:val="00AD20CD"/>
    <w:rsid w:val="00AD3314"/>
    <w:rsid w:val="00AD49A2"/>
    <w:rsid w:val="00AD741E"/>
    <w:rsid w:val="00AE3DCA"/>
    <w:rsid w:val="00AE5E1D"/>
    <w:rsid w:val="00AF1440"/>
    <w:rsid w:val="00AF2E4A"/>
    <w:rsid w:val="00AF7700"/>
    <w:rsid w:val="00B00689"/>
    <w:rsid w:val="00B0589E"/>
    <w:rsid w:val="00B07149"/>
    <w:rsid w:val="00B17585"/>
    <w:rsid w:val="00B24274"/>
    <w:rsid w:val="00B25C91"/>
    <w:rsid w:val="00B35401"/>
    <w:rsid w:val="00B55C68"/>
    <w:rsid w:val="00B633CC"/>
    <w:rsid w:val="00B635C6"/>
    <w:rsid w:val="00B64C60"/>
    <w:rsid w:val="00B72A89"/>
    <w:rsid w:val="00B75212"/>
    <w:rsid w:val="00B85792"/>
    <w:rsid w:val="00B903AE"/>
    <w:rsid w:val="00B968A7"/>
    <w:rsid w:val="00BA31C5"/>
    <w:rsid w:val="00BB73F9"/>
    <w:rsid w:val="00BC1F7C"/>
    <w:rsid w:val="00BC4180"/>
    <w:rsid w:val="00BC4C90"/>
    <w:rsid w:val="00BD4C6E"/>
    <w:rsid w:val="00BD6652"/>
    <w:rsid w:val="00BE3FF3"/>
    <w:rsid w:val="00BF0E90"/>
    <w:rsid w:val="00BF28BE"/>
    <w:rsid w:val="00C01D82"/>
    <w:rsid w:val="00C15DBA"/>
    <w:rsid w:val="00C17925"/>
    <w:rsid w:val="00C2380D"/>
    <w:rsid w:val="00C27B41"/>
    <w:rsid w:val="00C306AE"/>
    <w:rsid w:val="00C34F2E"/>
    <w:rsid w:val="00C40037"/>
    <w:rsid w:val="00C44145"/>
    <w:rsid w:val="00C461BF"/>
    <w:rsid w:val="00C50B92"/>
    <w:rsid w:val="00C56F70"/>
    <w:rsid w:val="00C82BC1"/>
    <w:rsid w:val="00C84F08"/>
    <w:rsid w:val="00CA1086"/>
    <w:rsid w:val="00CA4ECB"/>
    <w:rsid w:val="00CD7400"/>
    <w:rsid w:val="00CE1BBA"/>
    <w:rsid w:val="00CE5F42"/>
    <w:rsid w:val="00CF15E0"/>
    <w:rsid w:val="00CF2B15"/>
    <w:rsid w:val="00CF3267"/>
    <w:rsid w:val="00D039BD"/>
    <w:rsid w:val="00D13FB2"/>
    <w:rsid w:val="00D27D05"/>
    <w:rsid w:val="00D34BDA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4339"/>
    <w:rsid w:val="00DF4A3E"/>
    <w:rsid w:val="00E03A37"/>
    <w:rsid w:val="00E202FC"/>
    <w:rsid w:val="00E234B6"/>
    <w:rsid w:val="00E35577"/>
    <w:rsid w:val="00E4103D"/>
    <w:rsid w:val="00E47C7A"/>
    <w:rsid w:val="00E6289D"/>
    <w:rsid w:val="00E67A9F"/>
    <w:rsid w:val="00E707BA"/>
    <w:rsid w:val="00E775C9"/>
    <w:rsid w:val="00E806FC"/>
    <w:rsid w:val="00E912AC"/>
    <w:rsid w:val="00E957B0"/>
    <w:rsid w:val="00EA0455"/>
    <w:rsid w:val="00EA4F38"/>
    <w:rsid w:val="00EB1632"/>
    <w:rsid w:val="00EB2B99"/>
    <w:rsid w:val="00EB50C2"/>
    <w:rsid w:val="00EB74D7"/>
    <w:rsid w:val="00EC39A5"/>
    <w:rsid w:val="00EC7F83"/>
    <w:rsid w:val="00ED3D1B"/>
    <w:rsid w:val="00EE58CB"/>
    <w:rsid w:val="00EF0316"/>
    <w:rsid w:val="00F01757"/>
    <w:rsid w:val="00F018CB"/>
    <w:rsid w:val="00F04ACD"/>
    <w:rsid w:val="00F13C87"/>
    <w:rsid w:val="00F16806"/>
    <w:rsid w:val="00F254BC"/>
    <w:rsid w:val="00F25A04"/>
    <w:rsid w:val="00F321F4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5663"/>
    <w:rsid w:val="00FB62D9"/>
    <w:rsid w:val="00FC1CE8"/>
    <w:rsid w:val="00FC41E4"/>
    <w:rsid w:val="00FC5C91"/>
    <w:rsid w:val="00FD23D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68960-32A9-402B-8028-F522729C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paragraph" w:customStyle="1" w:styleId="ConsPlusNormal">
    <w:name w:val="ConsPlusNormal"/>
    <w:rsid w:val="00E355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4A3EB-333D-4945-B363-CFCD0DF4C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10</Pages>
  <Words>3103</Words>
  <Characters>17688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Жанна Владимировна Курышева</cp:lastModifiedBy>
  <cp:revision>14</cp:revision>
  <cp:lastPrinted>2021-03-01T05:54:00Z</cp:lastPrinted>
  <dcterms:created xsi:type="dcterms:W3CDTF">2021-02-19T12:28:00Z</dcterms:created>
  <dcterms:modified xsi:type="dcterms:W3CDTF">2022-01-24T13:20:00Z</dcterms:modified>
</cp:coreProperties>
</file>